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7A10" w14:textId="77777777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78A376E6" w14:textId="43F7FC14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55383" w14:textId="77777777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Одеська</w:t>
      </w:r>
      <w:proofErr w:type="spellEnd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національна</w:t>
      </w:r>
      <w:proofErr w:type="spellEnd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академія</w:t>
      </w:r>
      <w:proofErr w:type="spellEnd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харчових</w:t>
      </w:r>
      <w:proofErr w:type="spellEnd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технологій</w:t>
      </w:r>
      <w:proofErr w:type="spellEnd"/>
    </w:p>
    <w:p w14:paraId="7731891A" w14:textId="1B8E5F43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59358" w14:textId="3FE95891" w:rsidR="00913AD1" w:rsidRPr="00913AD1" w:rsidRDefault="00913AD1" w:rsidP="001E69A9">
      <w:pPr>
        <w:widowControl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7C32" w14:textId="75F79A99" w:rsidR="00913AD1" w:rsidRPr="00913AD1" w:rsidRDefault="00913AD1" w:rsidP="001E69A9">
      <w:pPr>
        <w:widowControl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37337" w14:textId="36F2DD50" w:rsidR="00913AD1" w:rsidRPr="00913AD1" w:rsidRDefault="00913AD1" w:rsidP="001E69A9">
      <w:pPr>
        <w:widowControl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7D1C7" w14:textId="1E21181D" w:rsidR="00913AD1" w:rsidRPr="00913AD1" w:rsidRDefault="00913AD1" w:rsidP="001E69A9">
      <w:pPr>
        <w:widowControl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7C676" w14:textId="76A6C009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590C8" w14:textId="77777777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РОБОЧА ПРОГРАМА НАВЧАЛЬНОЇ ДИСЦИПЛІНИ</w:t>
      </w:r>
    </w:p>
    <w:p w14:paraId="2C70226C" w14:textId="76221F9D" w:rsidR="00913AD1" w:rsidRPr="00913AD1" w:rsidRDefault="00913AD1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553F0" w14:textId="646ACDBB" w:rsidR="00913AD1" w:rsidRPr="00913AD1" w:rsidRDefault="00B85974" w:rsidP="001E69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стиснених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14:paraId="4CD1FBB3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B1CFE1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дисципліна</w:t>
      </w:r>
      <w:proofErr w:type="spellEnd"/>
    </w:p>
    <w:p w14:paraId="7680BA02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6CE5AC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українська</w:t>
      </w:r>
      <w:proofErr w:type="spellEnd"/>
    </w:p>
    <w:p w14:paraId="43B3D692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B65C5" w14:textId="77777777" w:rsidR="00913AD1" w:rsidRPr="00913AD1" w:rsidRDefault="00913AD1" w:rsidP="00913AD1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Освітньо-професійна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Холодильні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машини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установки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кондиціювання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повітря</w:t>
      </w:r>
      <w:proofErr w:type="spellEnd"/>
    </w:p>
    <w:p w14:paraId="32BC2264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142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Енергетичне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машинобудування</w:t>
      </w:r>
      <w:proofErr w:type="spellEnd"/>
    </w:p>
    <w:p w14:paraId="76801869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Шифр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Електрична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інженерія</w:t>
      </w:r>
      <w:proofErr w:type="spellEnd"/>
    </w:p>
    <w:p w14:paraId="2B357C4A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бакалавр</w:t>
      </w:r>
    </w:p>
    <w:p w14:paraId="3DEDFE5F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45408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8A8B9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D97C0" w14:textId="77777777" w:rsidR="00913AD1" w:rsidRPr="00913AD1" w:rsidRDefault="00913AD1" w:rsidP="00913A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C372B9" w14:textId="77777777" w:rsidR="00913AD1" w:rsidRPr="00913AD1" w:rsidRDefault="00913AD1" w:rsidP="00913A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Методичною радою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</w:p>
    <w:p w14:paraId="5E14F21B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8D9E9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CB342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5CF3B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BE59F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74E0C7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DFE7DE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F049E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F0FA7D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6661F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48B5DC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5A9D7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16CAF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3254E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AAEFDC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C0B28C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E86B6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2FCDD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14:paraId="4E3B70CB" w14:textId="77777777" w:rsidR="00913AD1" w:rsidRPr="00913AD1" w:rsidRDefault="00913AD1" w:rsidP="0091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5962F2A9" w14:textId="6F8D25F3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 ТА ЗАБЕЗПЕЧУЄТЬСЯ: 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кафедрою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компресорів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пневмоагрегатів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Одеської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національної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академії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харчових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технологій</w:t>
      </w:r>
      <w:proofErr w:type="spellEnd"/>
    </w:p>
    <w:p w14:paraId="44043235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6FBE9" w14:textId="00ED0A3E" w:rsidR="00913AD1" w:rsidRPr="00913AD1" w:rsidRDefault="00913AD1" w:rsidP="00913AD1">
      <w:pPr>
        <w:widowControl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 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Ярошенко В.М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компресорів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пневмоагрегатів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 доцент, кандидат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технічних наук</w:t>
      </w:r>
    </w:p>
    <w:p w14:paraId="56FAFF9F" w14:textId="77777777" w:rsidR="00913AD1" w:rsidRPr="00913AD1" w:rsidRDefault="00913AD1" w:rsidP="00913A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вказати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авторів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їхні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посади,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наукові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ступені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вчені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звання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762D58D7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62764" w14:textId="2D295C18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компресорів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пневмоагрегатів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</w:p>
    <w:p w14:paraId="1B1207C3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«__» ___________ 20___ р. №___</w:t>
      </w:r>
    </w:p>
    <w:p w14:paraId="1DC094EA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1D9D05" w14:textId="0C76951A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 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Мілованов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В.І.</w:t>
      </w:r>
    </w:p>
    <w:p w14:paraId="0B1D6B49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ініциали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02A99848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3ABF5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28AE3A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методичною радою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142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Енергетичне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машинобудування</w:t>
      </w:r>
      <w:proofErr w:type="spellEnd"/>
    </w:p>
    <w:p w14:paraId="0DB0B0F4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(код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спеціальності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E8137DD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48EE1A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ради _________________________              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Хмельнюк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М.Г.</w:t>
      </w:r>
    </w:p>
    <w:p w14:paraId="5EE34CF6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ініциали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10C5A53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F1FDA3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              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Хмельнюк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М.Г.</w:t>
      </w:r>
    </w:p>
    <w:p w14:paraId="1B9C4E1A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ініциали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66D06E6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E7C06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D8BD2F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Методичною радою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</w:p>
    <w:p w14:paraId="3CDE8718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«__» ___________ 20___ р. №___</w:t>
      </w:r>
    </w:p>
    <w:p w14:paraId="3FF18773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6178D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Мураховський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В.Г.</w:t>
      </w:r>
    </w:p>
    <w:p w14:paraId="29224EB8" w14:textId="77777777" w:rsidR="00913AD1" w:rsidRPr="00913AD1" w:rsidRDefault="00913AD1" w:rsidP="00913A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ініциали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2432C229" w14:textId="77777777" w:rsidR="00913AD1" w:rsidRPr="00913AD1" w:rsidRDefault="00913AD1" w:rsidP="0091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4A4F6627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</w:p>
    <w:p w14:paraId="630EB60A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66"/>
        <w:gridCol w:w="8178"/>
        <w:gridCol w:w="611"/>
      </w:tblGrid>
      <w:tr w:rsidR="00913AD1" w:rsidRPr="00913AD1" w14:paraId="2E4FFA42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8F99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C4FD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Пояснювальна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записка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E0AB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7EAA11CB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077D7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23FFB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та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D67F6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18CBBB0D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9993F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8F382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отримати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2921A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16F02A30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39FC3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4E4F8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Міждисциплінарні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зв’язки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0AB80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347865BF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415E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B6308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кредитах ЄКТС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2E001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504E0675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32FF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5159D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AEBA0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47D9922B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A8C38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238C2" w14:textId="77777777" w:rsidR="00913AD1" w:rsidRPr="00913AD1" w:rsidRDefault="00913AD1" w:rsidP="00913AD1">
            <w:pPr>
              <w:widowControl w:val="0"/>
              <w:shd w:val="clear" w:color="auto" w:fill="FFFFFF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Програма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змістовних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модулів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19FB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06D76186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94953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EB67D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лабораторних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BC23C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2308E400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51079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5ADAE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496C5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33EFF114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FA513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91EA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66079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65D1113E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04E21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214DE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74A10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5DE6E97A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68AB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F263D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ABBE4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035B7FFF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7CA61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BDC02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3FA71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1C617972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9FCED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8FF23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0E943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AD1" w:rsidRPr="00913AD1" w14:paraId="26F623C4" w14:textId="77777777" w:rsidTr="00913AD1">
        <w:trPr>
          <w:tblCellSpacing w:w="0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CD68A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F5AF3" w14:textId="77777777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0EEC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C6DA3D" w14:textId="77777777" w:rsidR="00913AD1" w:rsidRPr="00913AD1" w:rsidRDefault="00913AD1" w:rsidP="00913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AF2D4E" w14:textId="77777777" w:rsidR="00913AD1" w:rsidRPr="00913AD1" w:rsidRDefault="00913AD1" w:rsidP="0091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2969C654" w14:textId="2F522B0D" w:rsidR="00913AD1" w:rsidRPr="001E69A9" w:rsidRDefault="001E69A9" w:rsidP="001E6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1.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записка</w:t>
      </w:r>
    </w:p>
    <w:p w14:paraId="59EA58CF" w14:textId="03150D74" w:rsidR="00913AD1" w:rsidRPr="001E69A9" w:rsidRDefault="001E69A9" w:rsidP="001E69A9">
      <w:pPr>
        <w:pStyle w:val="a3"/>
        <w:widowControl w:val="0"/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та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D2A3C6" w14:textId="05976976" w:rsidR="00B85974" w:rsidRPr="00B85974" w:rsidRDefault="00B85974" w:rsidP="00B8597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Основна</w:t>
      </w:r>
      <w:proofErr w:type="spellEnd"/>
      <w:r w:rsidRPr="00B859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мета курсу</w:t>
      </w:r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полягає в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сучасних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досягнень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переважній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більшості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галузей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де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використовуються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складові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застосовуються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енергоносії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вигляді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. При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важливе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значення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надається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напрямкам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перспективах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подальшого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базі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доцільного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оптимального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нових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видів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машин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устаткування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робочих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речовин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урахуванням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відповідних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екологічних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вимог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вимог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підвищення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енергетичної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економічної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ефективності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надійності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довговічності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експлуатаційної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безпеки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C7445E0" w14:textId="77777777" w:rsidR="00B85974" w:rsidRPr="00B85974" w:rsidRDefault="00B85974" w:rsidP="00B8597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33A95541" w14:textId="77777777" w:rsidR="00B85974" w:rsidRPr="00B85974" w:rsidRDefault="00B85974" w:rsidP="00B8597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знати:</w:t>
      </w:r>
      <w:r w:rsidRPr="00B8597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02385EE8" w14:textId="77777777" w:rsidR="00B85974" w:rsidRPr="00B85974" w:rsidRDefault="00B85974" w:rsidP="00B85974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закони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якими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здійснуються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стиснення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компресорних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машина;</w:t>
      </w:r>
    </w:p>
    <w:p w14:paraId="479D97EA" w14:textId="77777777" w:rsidR="00B85974" w:rsidRPr="00B85974" w:rsidRDefault="00B85974" w:rsidP="00B85974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методи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розрахунку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основних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показників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системи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газами;</w:t>
      </w:r>
    </w:p>
    <w:p w14:paraId="03D9B73E" w14:textId="77777777" w:rsidR="00B85974" w:rsidRPr="00B85974" w:rsidRDefault="00B85974" w:rsidP="00B85974">
      <w:pPr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закони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якими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здійснюються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енергетичних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перетворювань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в системах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газами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відповідний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аналітичний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апарат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525777B9" w14:textId="77777777" w:rsidR="00B85974" w:rsidRPr="00B85974" w:rsidRDefault="00B85974" w:rsidP="00B85974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особливості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розрахунку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газами на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основі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теорії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ідеального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газу,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рівнянь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стану реального газу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діаграм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стану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речовин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0098E8E0" w14:textId="77777777" w:rsidR="00B85974" w:rsidRPr="00B85974" w:rsidRDefault="00B85974" w:rsidP="00B85974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термодинамічні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теплофізичні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екологічні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властивості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пари за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допомогою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здійснюються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052A85BD" w14:textId="77777777" w:rsidR="00B85974" w:rsidRPr="00B85974" w:rsidRDefault="00B85974" w:rsidP="00B85974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найбільш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відомі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стиснутого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повітря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пневмомережах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системах пневмоавтоматики,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пневмодвигунах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двигунах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внутрішнього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згорання,холодильних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машинах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теплових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насосах;</w:t>
      </w:r>
    </w:p>
    <w:p w14:paraId="4B594527" w14:textId="77777777" w:rsidR="00B85974" w:rsidRPr="00B85974" w:rsidRDefault="00B85974" w:rsidP="00B85974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найбільш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розповсюджені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паливних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природного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3ABED5EC" w14:textId="77777777" w:rsidR="00B85974" w:rsidRPr="00B85974" w:rsidRDefault="00B85974" w:rsidP="00B85974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напрямки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положення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енергетичних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екологічних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програм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втілюються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 в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62196C6" w14:textId="77777777" w:rsidR="00B85974" w:rsidRPr="00B85974" w:rsidRDefault="00B85974" w:rsidP="00B85974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59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</w:t>
      </w:r>
    </w:p>
    <w:p w14:paraId="11A2142E" w14:textId="77777777" w:rsidR="00B85974" w:rsidRPr="00B85974" w:rsidRDefault="00B85974" w:rsidP="00B85974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597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B8597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</w:t>
      </w:r>
      <w:proofErr w:type="spellStart"/>
      <w:r w:rsidRPr="00B85974">
        <w:rPr>
          <w:rFonts w:ascii="Times New Roman" w:hAnsi="Times New Roman" w:cs="Times New Roman"/>
          <w:b/>
          <w:color w:val="333333"/>
          <w:sz w:val="28"/>
          <w:szCs w:val="28"/>
        </w:rPr>
        <w:t>міти</w:t>
      </w:r>
      <w:proofErr w:type="spellEnd"/>
      <w:r w:rsidRPr="00B8597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14:paraId="11ECF1EB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будувати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розраховувати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розімкнуті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циклічні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4A09899B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використовувати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розрахунках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процесів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аналітичні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рівняння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таблиці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діаграми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термодинамічних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властивостей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робочих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тіл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холодильних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агентів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AF0D2DA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визначати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масову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обємну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витрати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стиснутого газу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відповідно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особливостей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33D5E357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розраховувати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механічну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електричну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потужності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технологічних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систем з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2F7F5B0C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розраховувати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енергетичні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гідравлічні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втрати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в системах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газами та на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магістральних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трубопроводах;</w:t>
      </w:r>
    </w:p>
    <w:p w14:paraId="43D4980D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розраховувати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проектувати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вибирати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необхідне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технічне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обладнання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відповідно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технології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стиснутого газу;</w:t>
      </w:r>
    </w:p>
    <w:p w14:paraId="4DDA0982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планувати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керувати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роботами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пов’язаними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експлуатацією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поточним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профілактичним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ремонтами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технічного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обладнання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0AB9173" w14:textId="77777777" w:rsidR="00B85974" w:rsidRPr="00B85974" w:rsidRDefault="00B85974" w:rsidP="00B85974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виконувати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енергетичний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техніко-економічний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аналіз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технологій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використанням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стиснутих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85974">
        <w:rPr>
          <w:rFonts w:ascii="Times New Roman" w:hAnsi="Times New Roman" w:cs="Times New Roman"/>
          <w:color w:val="333333"/>
          <w:sz w:val="28"/>
          <w:szCs w:val="28"/>
        </w:rPr>
        <w:t>газів</w:t>
      </w:r>
      <w:proofErr w:type="spellEnd"/>
      <w:r w:rsidRPr="00B8597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2AF9D07" w14:textId="77777777" w:rsidR="00913AD1" w:rsidRPr="00913AD1" w:rsidRDefault="00913AD1" w:rsidP="00913AD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7F753" w14:textId="5045B04B" w:rsidR="00913AD1" w:rsidRPr="00131EE6" w:rsidRDefault="00131EE6" w:rsidP="001E69A9">
      <w:pPr>
        <w:pStyle w:val="a3"/>
        <w:widowControl w:val="0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омпетентності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отримати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здобувач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вищої</w:t>
      </w:r>
      <w:proofErr w:type="spellEnd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3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14:paraId="7DAA1472" w14:textId="39A56A37" w:rsidR="00E752AB" w:rsidRPr="00E752AB" w:rsidRDefault="00913AD1" w:rsidP="00E752AB">
      <w:pPr>
        <w:ind w:left="-5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85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Технологія використання </w:t>
      </w:r>
      <w:proofErr w:type="spellStart"/>
      <w:r w:rsidR="00B85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стисненних</w:t>
      </w:r>
      <w:proofErr w:type="spellEnd"/>
      <w:r w:rsidR="00B85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газів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5" w:history="1"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Стандарті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вищої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освіти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зі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спеціальності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142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Енергетичне</w:t>
        </w:r>
        <w:proofErr w:type="spellEnd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752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машинобудування</w:t>
        </w:r>
        <w:proofErr w:type="spellEnd"/>
      </w:hyperlink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r w:rsidR="00E752AB" w:rsidRPr="00E752AB">
        <w:rPr>
          <w:color w:val="000000" w:themeColor="text1"/>
        </w:rPr>
        <w:fldChar w:fldCharType="begin"/>
      </w:r>
      <w:r w:rsidR="00E752AB" w:rsidRPr="00E752AB">
        <w:rPr>
          <w:color w:val="000000" w:themeColor="text1"/>
        </w:rPr>
        <w:instrText xml:space="preserve"> HYPER</w:instrText>
      </w:r>
      <w:r w:rsidR="00E752AB" w:rsidRPr="00E752AB">
        <w:rPr>
          <w:color w:val="000000" w:themeColor="text1"/>
        </w:rPr>
        <w:instrText xml:space="preserve">LINK "https://nv.onaft.edu.ua/opp/142b-shusk2018.pdf" </w:instrText>
      </w:r>
      <w:r w:rsidR="00E752AB" w:rsidRPr="00E752AB">
        <w:rPr>
          <w:color w:val="000000" w:themeColor="text1"/>
        </w:rPr>
        <w:fldChar w:fldCharType="separate"/>
      </w:r>
      <w:proofErr w:type="spellStart"/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освітньо-професійн</w:t>
      </w:r>
      <w:r w:rsid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их</w:t>
      </w:r>
      <w:proofErr w:type="spellEnd"/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</w:t>
      </w:r>
      <w:proofErr w:type="spellEnd"/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752AB" w:rsidRPr="00E752A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Холодильні машини, установки та кондиціювання повітря, Газотурбінні установки та компресорні станції, Кріогенна техніка та технології</w:t>
      </w:r>
    </w:p>
    <w:p w14:paraId="26480691" w14:textId="1CB6BDF4" w:rsidR="00913AD1" w:rsidRPr="00913AD1" w:rsidRDefault="00E752AB" w:rsidP="00913AD1">
      <w:pPr>
        <w:widowControl w:val="0"/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913AD1"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13AD1"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913AD1"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="00913AD1"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30B33B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58AE02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2. Здатність зберігати та примножувати моральні, культурні, наукові цінності і досягнення суспільства на основі розуміння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закономірностей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природу і суспільство та у розвитку суспільства, техніки і технологій, використовувати різні види та форми рухової активності для активного відпочинку та ведення здорового способу життя</w:t>
      </w:r>
    </w:p>
    <w:p w14:paraId="241858D2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3.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55143ED0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4.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BA9931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5.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державною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так і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3A84C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6. Здатність використовувати іноземну мову у професійній діяльності.</w:t>
      </w:r>
    </w:p>
    <w:p w14:paraId="0CAC27A1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7. Навички використання інформаційних і комунікаційних технологій.</w:t>
      </w:r>
    </w:p>
    <w:p w14:paraId="437911EC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8.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B15AB0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 9. Здатність до пошуку, оброблення та аналізу інформації з різних джерел.</w:t>
      </w:r>
    </w:p>
    <w:p w14:paraId="2CF0BE26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BB71BA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06AFB4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 3. Здатність аналізувати інформацію з літературних джерел, здійснювати патентний пошук, а також використовувати бази даних та інші джерела інформації для здійснення професійної діяльності.</w:t>
      </w:r>
    </w:p>
    <w:p w14:paraId="3F8F8301" w14:textId="06CF5C69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ФК</w:t>
      </w: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Здатність використовувати стандартні методики планування експериментальних досліджень, здійснювати обробку та узагальнення результатів експерименту.</w:t>
      </w:r>
    </w:p>
    <w:p w14:paraId="7FA18584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 12. Здатність брати участь у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інноваційними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проектами,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дослідницької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8C1615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380AA9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FD9F95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 1. Знання і розуміння математики, фізики, тепломасообміну, технічної термодинаміки, гідрогазодинаміки, трансформації (перетворення) енергії, технічної механіки, конструкційних матеріалів, систем автоматизованого проектування енергетичних машин на рівні, необхідному для досягнення результатів освітньої програми.</w:t>
      </w:r>
    </w:p>
    <w:p w14:paraId="77DFD4B8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 2.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наук на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необхідному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досягнення інших результатів освітньої програми, в тому числі певна обізнаність в останніх досягненнях.</w:t>
      </w:r>
    </w:p>
    <w:p w14:paraId="60F09386" w14:textId="77777777" w:rsidR="00913AD1" w:rsidRPr="00913AD1" w:rsidRDefault="00913AD1" w:rsidP="00913AD1">
      <w:pPr>
        <w:widowControl w:val="0"/>
        <w:spacing w:after="0" w:line="240" w:lineRule="auto"/>
        <w:ind w:left="36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 3. Розуміння широкого міждисциплінарного контексту спеціальності 142 Енергетичне машинобудування</w:t>
      </w:r>
    </w:p>
    <w:p w14:paraId="08585F1D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 18. Ефективно спілкуватися з питань інформації, ідей, проблем та рішень з інженерним співтовариством і суспільством загалом.</w:t>
      </w:r>
    </w:p>
    <w:p w14:paraId="4145906F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 19. Ефективно працювати в національному та міжнародному контексті, як особистість і як член команди, і ефективно співпрацювати з інженерами та не інженерами.</w:t>
      </w:r>
    </w:p>
    <w:p w14:paraId="24C2D54E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 20.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7DE926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 21.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науки і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665283" w14:textId="77777777" w:rsidR="00913AD1" w:rsidRPr="00913AD1" w:rsidRDefault="00913AD1" w:rsidP="00913AD1">
      <w:pPr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84129" w14:textId="04102AD3" w:rsidR="00913AD1" w:rsidRPr="00102CB2" w:rsidRDefault="00913AD1" w:rsidP="001E69A9">
      <w:pPr>
        <w:pStyle w:val="a3"/>
        <w:numPr>
          <w:ilvl w:val="1"/>
          <w:numId w:val="49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Міждисциплінарні</w:t>
      </w:r>
      <w:proofErr w:type="spellEnd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зв’язки</w:t>
      </w:r>
      <w:proofErr w:type="spellEnd"/>
    </w:p>
    <w:p w14:paraId="767B0573" w14:textId="688D0124" w:rsidR="00913AD1" w:rsidRDefault="00913AD1" w:rsidP="00913AD1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Попередні :фізика, математика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тепломасообмін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термодинаміка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D04A8F7" w14:textId="1D0C2884" w:rsidR="00913AD1" w:rsidRDefault="00913AD1" w:rsidP="00913AD1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гідрогазодинаміка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14:paraId="36688601" w14:textId="6953585B" w:rsidR="00913AD1" w:rsidRPr="00913AD1" w:rsidRDefault="00913AD1" w:rsidP="00913AD1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послідовні: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механіка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конструкційних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9B6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основи автоматизації, 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автоматизоване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енергетичних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</w:t>
      </w:r>
    </w:p>
    <w:p w14:paraId="62E9B279" w14:textId="77777777" w:rsidR="00913AD1" w:rsidRPr="00913AD1" w:rsidRDefault="00913AD1" w:rsidP="00913AD1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70AB31" w14:textId="17A86AB4" w:rsidR="00913AD1" w:rsidRPr="00D46BF1" w:rsidRDefault="00913AD1" w:rsidP="001E69A9">
      <w:pPr>
        <w:pStyle w:val="a3"/>
        <w:widowControl w:val="0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кредитах ЄКТС</w:t>
      </w:r>
    </w:p>
    <w:p w14:paraId="33124A84" w14:textId="13E6D102" w:rsidR="00D46BF1" w:rsidRPr="001E69A9" w:rsidRDefault="00D46BF1" w:rsidP="00D46BF1">
      <w:pPr>
        <w:pStyle w:val="a3"/>
        <w:widowControl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кредитів </w:t>
      </w:r>
      <w:r>
        <w:rPr>
          <w:rFonts w:ascii="Times New Roman" w:hAnsi="Times New Roman" w:cs="Times New Roman"/>
          <w:b/>
          <w:sz w:val="24"/>
          <w:szCs w:val="24"/>
        </w:rPr>
        <w:t>ECTS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- 4 годин - 120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650"/>
        <w:gridCol w:w="1490"/>
        <w:gridCol w:w="219"/>
        <w:gridCol w:w="1184"/>
        <w:gridCol w:w="845"/>
        <w:gridCol w:w="545"/>
        <w:gridCol w:w="1192"/>
        <w:gridCol w:w="548"/>
        <w:gridCol w:w="1682"/>
      </w:tblGrid>
      <w:tr w:rsidR="009B69E8" w:rsidRPr="00913AD1" w14:paraId="15B01E2D" w14:textId="17A39852" w:rsidTr="009B69E8">
        <w:trPr>
          <w:gridAfter w:val="6"/>
          <w:wAfter w:w="5996" w:type="dxa"/>
          <w:tblCellSpacing w:w="0" w:type="dxa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CC8313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1735B6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9E8" w:rsidRPr="00913AD1" w14:paraId="16C05D9B" w14:textId="67748299" w:rsidTr="009B69E8">
        <w:trPr>
          <w:tblCellSpacing w:w="0" w:type="dxa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6730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годин: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50D0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1422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044A" w14:textId="20CD5B5A" w:rsidR="009B69E8" w:rsidRPr="00913AD1" w:rsidRDefault="009B69E8" w:rsidP="00913AD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E9B" w14:textId="4C636319" w:rsidR="009B69E8" w:rsidRPr="009B69E8" w:rsidRDefault="009B69E8" w:rsidP="00913AD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практичні</w:t>
            </w:r>
          </w:p>
        </w:tc>
      </w:tr>
      <w:tr w:rsidR="009B69E8" w:rsidRPr="00913AD1" w14:paraId="24C90FF2" w14:textId="05144726" w:rsidTr="009B69E8">
        <w:trPr>
          <w:tblCellSpacing w:w="0" w:type="dxa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CB2A" w14:textId="77777777" w:rsidR="009B69E8" w:rsidRPr="00913AD1" w:rsidRDefault="009B69E8" w:rsidP="00913AD1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денна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EB85" w14:textId="18688929" w:rsidR="009B69E8" w:rsidRPr="00D46BF1" w:rsidRDefault="00D46BF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F81B" w14:textId="6904BFC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CC6B" w14:textId="0487938B" w:rsidR="009B69E8" w:rsidRPr="009B69E8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393" w14:textId="45D07C32" w:rsidR="009B69E8" w:rsidRPr="009B69E8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9B69E8" w:rsidRPr="00913AD1" w14:paraId="6EB25F7F" w14:textId="1A998624" w:rsidTr="009B69E8">
        <w:trPr>
          <w:tblCellSpacing w:w="0" w:type="dxa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801E" w14:textId="77777777" w:rsidR="009B69E8" w:rsidRPr="00913AD1" w:rsidRDefault="009B69E8" w:rsidP="00913A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EA7F" w14:textId="63CE2F8B" w:rsidR="009B69E8" w:rsidRPr="009B69E8" w:rsidRDefault="00D46BF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DDAE" w14:textId="2FEECFED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4A5B" w14:textId="0A490B5B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D0BF" w14:textId="77AB8638" w:rsidR="009B69E8" w:rsidRPr="009B69E8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9B69E8" w:rsidRPr="00913AD1" w14:paraId="3575E135" w14:textId="5643F5AB" w:rsidTr="009B69E8">
        <w:trPr>
          <w:gridAfter w:val="2"/>
          <w:wAfter w:w="2230" w:type="dxa"/>
          <w:tblCellSpacing w:w="0" w:type="dxa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6E31" w14:textId="77777777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робота, годин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2CBD" w14:textId="4D0DC23B" w:rsidR="009B69E8" w:rsidRPr="00913AD1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Денна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4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8980" w14:textId="3F1E0E5F" w:rsidR="009B69E8" w:rsidRPr="009B69E8" w:rsidRDefault="009B69E8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Заочна -</w:t>
            </w:r>
            <w:r w:rsidR="00D4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</w:tr>
    </w:tbl>
    <w:p w14:paraId="064D6FAC" w14:textId="77777777" w:rsidR="00913AD1" w:rsidRPr="00913AD1" w:rsidRDefault="00913AD1" w:rsidP="00913AD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D81F8" w14:textId="74476B3A" w:rsidR="00913AD1" w:rsidRPr="00102CB2" w:rsidRDefault="00913AD1" w:rsidP="001E69A9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proofErr w:type="spellStart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Зміст</w:t>
      </w:r>
      <w:proofErr w:type="spellEnd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0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14:paraId="558FCFFF" w14:textId="7F6DDC8D" w:rsidR="00913AD1" w:rsidRPr="00913AD1" w:rsidRDefault="001E69A9" w:rsidP="001E69A9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2.1.</w:t>
      </w:r>
      <w:proofErr w:type="spellStart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змістовних</w:t>
      </w:r>
      <w:proofErr w:type="spellEnd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модулів</w:t>
      </w:r>
      <w:proofErr w:type="spellEnd"/>
    </w:p>
    <w:p w14:paraId="092B5FBA" w14:textId="5EB3080C" w:rsidR="00913AD1" w:rsidRPr="00913AD1" w:rsidRDefault="00913AD1" w:rsidP="00913AD1">
      <w:pPr>
        <w:widowControl w:val="0"/>
        <w:shd w:val="clear" w:color="auto" w:fill="FFFFFF"/>
        <w:spacing w:after="0" w:line="240" w:lineRule="auto"/>
        <w:ind w:left="-142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Змістовний</w:t>
      </w:r>
      <w:proofErr w:type="spellEnd"/>
      <w:r w:rsidRPr="009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1: </w:t>
      </w:r>
      <w:r w:rsidR="00241E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Теоретичні засади ТВСГ</w:t>
      </w:r>
      <w:r w:rsidRPr="009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640"/>
        <w:gridCol w:w="907"/>
      </w:tblGrid>
      <w:tr w:rsidR="00913AD1" w:rsidRPr="00913AD1" w14:paraId="63E9A569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203C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8A72" w14:textId="77777777" w:rsidR="00913AD1" w:rsidRPr="00913AD1" w:rsidRDefault="00913AD1" w:rsidP="00913AD1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Зміст</w:t>
            </w:r>
            <w:proofErr w:type="spellEnd"/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F96E" w14:textId="77777777" w:rsidR="00913AD1" w:rsidRPr="00913AD1" w:rsidRDefault="00913AD1" w:rsidP="00913AD1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Годин</w:t>
            </w:r>
          </w:p>
        </w:tc>
      </w:tr>
      <w:tr w:rsidR="00913AD1" w:rsidRPr="00913AD1" w14:paraId="0DD88A5F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8CAF" w14:textId="333B6A9F" w:rsidR="00913AD1" w:rsidRPr="00913AD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913AD1"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B3F4" w14:textId="7FBA3FB4" w:rsidR="00241E11" w:rsidRPr="00241E11" w:rsidRDefault="00913AD1" w:rsidP="00241E11">
            <w:pPr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24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Вступ. </w:t>
            </w:r>
            <w:r w:rsidR="00241E11" w:rsidRPr="00241E11">
              <w:rPr>
                <w:rFonts w:ascii="Times New Roman" w:hAnsi="Times New Roman" w:cs="Times New Roman"/>
                <w:bCs/>
                <w:color w:val="333333"/>
                <w:sz w:val="24"/>
                <w:u w:val="single"/>
                <w:lang w:val="uk-UA"/>
              </w:rPr>
              <w:t>.</w:t>
            </w:r>
            <w:r w:rsidR="00241E11" w:rsidRPr="00241E1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 Властивості газів та методи їх визначення у процесах стиснення.</w:t>
            </w:r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Практичне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застосування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значення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для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техніки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 Гази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роль у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житті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людини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Стиснуті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гази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роль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розвитку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науково-технічного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процессу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промисловості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Основні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термодинамічні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,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теплофізичні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гідродинамічні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характеристики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стиснутих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Методи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визначення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властивостей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Ентальпія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, як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основна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енергетична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характеристика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потоків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газу.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Технічні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властивості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стиснутих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Розчинність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абсорбція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газова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корозія</w:t>
            </w:r>
            <w:proofErr w:type="spellEnd"/>
            <w:r w:rsidR="00241E11" w:rsidRPr="00241E1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  <w:p w14:paraId="3FD0D065" w14:textId="0CF09B38" w:rsidR="00913AD1" w:rsidRPr="00913AD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7CB8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AD1" w:rsidRPr="00913AD1" w14:paraId="7843C9A6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04BA" w14:textId="548A0B63" w:rsidR="00913AD1" w:rsidRPr="00913AD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913AD1"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1F7A" w14:textId="7A7F8CAD" w:rsidR="00913AD1" w:rsidRPr="00241E11" w:rsidRDefault="00241E1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1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Основні теоретичні засади технологій використання стиснутих газів.</w:t>
            </w:r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Розімкнуті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замкнуті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(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кругові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)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процеси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технологіях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стиснутих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Застосування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стиснутих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якості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матерільних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енергетичних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складових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технологічних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процесів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.    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Розрахунок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визначення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масової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обємної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продуктивності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 у ТВСГ.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Основні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режими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течії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газових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потоків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термодинамічний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гідродінамічний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</w:rPr>
              <w:t>аналіз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.Рівняння нерозривності потоку, рівняння першого закону термодинаміки для потоку. Режими руху газу та визначення гідравлічних та енергетичних втрат 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3EDE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AD1" w:rsidRPr="00913AD1" w14:paraId="560FE4DD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E103" w14:textId="12F67C2F" w:rsidR="00913AD1" w:rsidRPr="00FC4B51" w:rsidRDefault="00913AD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4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2A1C" w14:textId="77777777" w:rsidR="00241E11" w:rsidRPr="00241E11" w:rsidRDefault="00241E11" w:rsidP="00241E1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1E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ТВСГ на основі  ідеально газової моделі стиснення . Застосування рівнянь ідеального газу для розрахунку ТВСГ з реальними газами. Термодинамічні особливості ідеально газової моделі та  практичні зони її </w:t>
            </w:r>
            <w:proofErr w:type="spellStart"/>
            <w:r w:rsidRPr="00241E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застосування.Властивості</w:t>
            </w:r>
            <w:proofErr w:type="spellEnd"/>
            <w:r w:rsidRPr="00241E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вологого повітря.</w:t>
            </w:r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Загальні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принципи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компрессорах.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Класифікація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зони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застосування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компресорних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установок.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Особливості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поршневих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гвинтових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компрессорах та турбомашинах.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Режими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роботи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компресорних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установок.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Енергетичні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втрати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стисненні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Система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коефіцієнтів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корисної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дії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Адіабатне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ізотермічне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політропне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газів</w:t>
            </w:r>
            <w:proofErr w:type="spellEnd"/>
            <w:r w:rsidRPr="00241E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061405BD" w14:textId="67515545" w:rsidR="00913AD1" w:rsidRPr="00241E1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C860" w14:textId="77777777" w:rsidR="00913AD1" w:rsidRPr="00913AD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AD1" w:rsidRPr="00FC4B51" w14:paraId="6FF557D6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D1E5" w14:textId="43A051D9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0F57" w14:textId="720A797C" w:rsidR="00913AD1" w:rsidRPr="00FC4B51" w:rsidRDefault="00241E1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Розрахунок систем ТВСГ з реальними газами. Коефіцієнт стиснення та способи його визначення. Рівняння реального газу в </w:t>
            </w:r>
            <w:proofErr w:type="spellStart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приведенних</w:t>
            </w:r>
            <w:proofErr w:type="spellEnd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 координатах. Застосування діаграм стану реальних газів для аналізу та розрахунку процесів стиснення. Графічна інтерпретація процесів стиснення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4B95" w14:textId="77777777" w:rsidR="00913AD1" w:rsidRPr="00FC4B5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3AD1" w:rsidRPr="00FC4B51" w14:paraId="545CCF1C" w14:textId="77777777" w:rsidTr="00913AD1">
        <w:trPr>
          <w:tblCellSpacing w:w="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9C3D" w14:textId="198D3F4E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8E6E" w14:textId="557F9608" w:rsidR="00913AD1" w:rsidRPr="00FC4B51" w:rsidRDefault="00241E11" w:rsidP="00241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Теоретичні основи  замкнутих  ТВСГ( циклів). Термодинамічні схеми термомеханічних систем з використанням стиснутих газів у якості робочих тіл та холодильних агентів.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Термоекономічний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аналіз ТВСГ.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Ексергетичний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метод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визначення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енергетичної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ефективності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ТВСГ.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Ексергія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теплоти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, холоду, стану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речовини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Необоротність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реальних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процесів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втрати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ексергії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Ексергетичний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аналіз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енергетичних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холодильних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систем.  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Приведені затрати в ТВСГ  та їх розподіл за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якісю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та кількістю. Коефіцієнт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термоекономічної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ефективності та його зв'язок з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ексергетичним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коефіцієнтом корисної дії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C344" w14:textId="77777777" w:rsidR="00913AD1" w:rsidRPr="00FC4B5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78242FC" w14:textId="77777777" w:rsidR="00913AD1" w:rsidRPr="00FC4B51" w:rsidRDefault="00913AD1" w:rsidP="00913AD1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080E9" w14:textId="6BC555E8" w:rsidR="00913AD1" w:rsidRPr="00FC4B51" w:rsidRDefault="00913AD1" w:rsidP="00913A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Змістовний</w:t>
      </w:r>
      <w:proofErr w:type="spellEnd"/>
      <w:r w:rsidRPr="00FC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2: </w:t>
      </w:r>
      <w:r w:rsidR="00241E11" w:rsidRPr="00FC4B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Основні напрямки практичного застосування стиснених газів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6775"/>
        <w:gridCol w:w="834"/>
      </w:tblGrid>
      <w:tr w:rsidR="00913AD1" w:rsidRPr="00FC4B51" w14:paraId="0B6C58D4" w14:textId="77777777" w:rsidTr="00FC4B51">
        <w:trPr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296F" w14:textId="77777777" w:rsidR="00913AD1" w:rsidRPr="00FC4B5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6967" w14:textId="77777777" w:rsidR="00913AD1" w:rsidRPr="00FC4B51" w:rsidRDefault="00913AD1" w:rsidP="00913AD1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C4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Зміст</w:t>
            </w:r>
            <w:proofErr w:type="spellEnd"/>
            <w:r w:rsidRPr="00FC4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8BB4" w14:textId="77777777" w:rsidR="00913AD1" w:rsidRPr="00FC4B51" w:rsidRDefault="00913AD1" w:rsidP="00913AD1">
            <w:pPr>
              <w:keepNext/>
              <w:keepLines/>
              <w:widowControl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Годин</w:t>
            </w:r>
          </w:p>
        </w:tc>
      </w:tr>
      <w:tr w:rsidR="00913AD1" w:rsidRPr="00FC4B51" w14:paraId="3D033657" w14:textId="77777777" w:rsidTr="00FC4B51">
        <w:trPr>
          <w:trHeight w:val="1454"/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67B9" w14:textId="6E7EB90E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4736" w14:textId="2E0C1364" w:rsidR="00241E11" w:rsidRPr="00FC4B51" w:rsidRDefault="00241E11" w:rsidP="00241E11">
            <w:pPr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Використання стиснутого повітря </w:t>
            </w: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у </w:t>
            </w:r>
            <w:proofErr w:type="spellStart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пневмомережах</w:t>
            </w:r>
            <w:proofErr w:type="spellEnd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 та пневмосистемах.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Пневмосистеми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основні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характеристики. Робота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компресорів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мережі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Способи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регулювання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продуктивності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Паралельна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послідовна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комутація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машин.   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Способи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охолодження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машин.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Зниження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температури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кінця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стиснення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Багатоступеневе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стиснення</w:t>
            </w:r>
            <w:proofErr w:type="spellEnd"/>
            <w:r w:rsidRPr="00FC4B51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Методи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охолодження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очищення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інших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газів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Теплообмінні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апарати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вибір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Особливості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технологій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в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металургійній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промисловості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, шахтах, на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морському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транспорті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машинобудуванні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на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пневмотранспорті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різного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призначення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  <w:p w14:paraId="2FD01294" w14:textId="4A42EE71" w:rsidR="00913AD1" w:rsidRPr="00FC4B5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8098" w14:textId="77777777" w:rsidR="00913AD1" w:rsidRPr="00FC4B5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3AD1" w:rsidRPr="00FC4B51" w14:paraId="1DFE41BE" w14:textId="77777777" w:rsidTr="00FC4B51">
        <w:trPr>
          <w:trHeight w:val="1683"/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6965" w14:textId="0064AC6A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0D99" w14:textId="3113AC93" w:rsidR="00913AD1" w:rsidRPr="00FC4B51" w:rsidRDefault="00241E1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Використання стиснутого повітря для виробництва енергії та холоду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Застосування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у ДВЗ.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безкомпресорний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двигуни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Дизеля.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Турбонадув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попереднє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охолодження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в ДВЗ.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газотурбінних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установках.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Класифікація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області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практичного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застосування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     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стиснутого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для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енергії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 турбоагрегатах та для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холоду 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турбохолодильних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машинах. Цикли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схеми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турбохолодильних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машин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основи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їх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розрахунку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927B" w14:textId="2975BCE8" w:rsidR="00913AD1" w:rsidRPr="00FC4B51" w:rsidRDefault="00FC4B5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13AD1" w:rsidRPr="00FC4B51" w14:paraId="472D2571" w14:textId="77777777" w:rsidTr="00FC4B51">
        <w:trPr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CD52" w14:textId="29DC1529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9E93" w14:textId="5D62E86F" w:rsidR="00913AD1" w:rsidRPr="00FC4B51" w:rsidRDefault="00241E1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Технології використання технічних та паливних газів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 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Азот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його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Загальні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відомості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азоту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із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повітря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Мембранні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установки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азоту.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Азотоно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–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мембранні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станції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Технології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азоту.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Кисень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його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Загальні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відомості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властивості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кисню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Технології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виробництва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Зберігання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, та транспортировка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кисню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Засоби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безпеки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при практичному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використання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кисню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5ACD" w14:textId="49568136" w:rsidR="00913AD1" w:rsidRPr="00FC4B51" w:rsidRDefault="00FC4B5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13AD1" w:rsidRPr="00FC4B51" w14:paraId="79EAA7FB" w14:textId="77777777" w:rsidTr="00FC4B51">
        <w:trPr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3805" w14:textId="4445012C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FCB" w14:textId="77777777" w:rsidR="00FC4B51" w:rsidRPr="00FC4B51" w:rsidRDefault="00FC4B51" w:rsidP="00FC4B5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lang w:val="uk-UA"/>
              </w:rPr>
            </w:pP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Технології використання природного газу.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   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Природний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газ 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, його властивості та напрямки 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його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застосування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Методи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добутку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транспортування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Компресорні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станції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газотранспортної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системи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Системи дроселювання та розподілення при споживанні природного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агзу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.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Технологічні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системи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транспортування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скрапленого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природного газу.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Регазифікаційні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технології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СПГ з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виробництвом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механічної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енергії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  <w:p w14:paraId="322BD4BC" w14:textId="362AE879" w:rsidR="00913AD1" w:rsidRPr="00FC4B51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FD9F" w14:textId="3DDEF93B" w:rsidR="00913AD1" w:rsidRPr="00FC4B51" w:rsidRDefault="00FC4B5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913AD1" w:rsidRPr="00FC4B51" w14:paraId="7A0139CF" w14:textId="77777777" w:rsidTr="00FC4B51">
        <w:trPr>
          <w:tblCellSpacing w:w="0" w:type="dxa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459D" w14:textId="1D6C17A8" w:rsidR="00913AD1" w:rsidRPr="00FC4B51" w:rsidRDefault="00FC4B51" w:rsidP="00FC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13AD1" w:rsidRPr="00FC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56AC" w14:textId="27E83190" w:rsidR="00FC4B51" w:rsidRPr="00DD2B27" w:rsidRDefault="00FC4B51" w:rsidP="00FC4B5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lang w:val="uk-UA"/>
              </w:rPr>
            </w:pP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Регенеративні та утилізаційні процеси в ТВСГ.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Регенерація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тепл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оти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, як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загальний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метод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підвищення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коефіцієнтів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термотрансформації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установок та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циклів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Технології утилізації промислових та викидних </w:t>
            </w:r>
            <w:proofErr w:type="spellStart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газів.Утилізація</w:t>
            </w:r>
            <w:proofErr w:type="spellEnd"/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 xml:space="preserve"> та використання газів металургійних виробництв. </w:t>
            </w:r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Паротурбінні установки  та </w:t>
            </w:r>
            <w:proofErr w:type="spellStart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>тепловикористовуючі</w:t>
            </w:r>
            <w:proofErr w:type="spellEnd"/>
            <w:r w:rsidRPr="00FC4B51">
              <w:rPr>
                <w:rFonts w:ascii="Times New Roman" w:hAnsi="Times New Roman" w:cs="Times New Roman"/>
                <w:bCs/>
                <w:color w:val="333333"/>
                <w:sz w:val="24"/>
                <w:lang w:val="uk-UA"/>
              </w:rPr>
              <w:t xml:space="preserve"> холодильні машини в ТВСГ</w:t>
            </w:r>
            <w:r w:rsidRPr="00FC4B51">
              <w:rPr>
                <w:rFonts w:ascii="Times New Roman" w:hAnsi="Times New Roman" w:cs="Times New Roman"/>
                <w:color w:val="333333"/>
                <w:sz w:val="24"/>
                <w:lang w:val="uk-UA"/>
              </w:rPr>
              <w:t>. Утилізація теплової енергії технологічних  та вторинних газів для виробництва пари в утилізаційних котлах, паротурбінних та парогазових установках.</w:t>
            </w:r>
          </w:p>
          <w:p w14:paraId="0EEA7493" w14:textId="2FE3FDEE" w:rsidR="00913AD1" w:rsidRPr="00DD2B27" w:rsidRDefault="00913AD1" w:rsidP="00913A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EB64" w14:textId="77777777" w:rsidR="00913AD1" w:rsidRPr="00FC4B51" w:rsidRDefault="00913AD1" w:rsidP="0091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292D4C6E" w14:textId="1B0019B2" w:rsidR="00241E11" w:rsidRPr="00FC4B51" w:rsidRDefault="00913AD1" w:rsidP="00102CB2">
      <w:pPr>
        <w:widowControl w:val="0"/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BE7224F" w14:textId="32194BF0" w:rsidR="00241E11" w:rsidRPr="001E69A9" w:rsidRDefault="001E69A9" w:rsidP="00241E11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9A9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241E11" w:rsidRPr="001E6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лабораторних  занять</w:t>
      </w:r>
    </w:p>
    <w:tbl>
      <w:tblPr>
        <w:tblW w:w="964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70"/>
        <w:gridCol w:w="6699"/>
        <w:gridCol w:w="1142"/>
        <w:gridCol w:w="1134"/>
      </w:tblGrid>
      <w:tr w:rsidR="00241E11" w:rsidRPr="00102CB2" w14:paraId="430758A9" w14:textId="77777777" w:rsidTr="00241E11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C1207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8ECA34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FF99C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BF5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7F538AF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241E11" w:rsidRPr="00102CB2" w14:paraId="18B686EE" w14:textId="77777777" w:rsidTr="00241E11">
        <w:trPr>
          <w:trHeight w:val="33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11BF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9D08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CA8A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FCA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41E11" w:rsidRPr="00102CB2" w14:paraId="2D461806" w14:textId="77777777" w:rsidTr="00241E1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3152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F57F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Дослідження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властивостей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вологого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FCD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03A" w14:textId="582F796F" w:rsidR="00241E11" w:rsidRPr="00102CB2" w:rsidRDefault="00DD2B27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1E11" w:rsidRPr="00102CB2" w14:paraId="487CE757" w14:textId="77777777" w:rsidTr="00241E1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467A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A85AF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Вивчення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конструктивних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обємного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динамічного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4DA3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F7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E11" w:rsidRPr="00102CB2" w14:paraId="46CB9ED9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3C41A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70EEF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Дослідження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процесу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адіабатного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холодильному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компресорі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B97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7D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E11" w:rsidRPr="00102CB2" w14:paraId="2AD87B91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9BB8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C1BF0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Дослідження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роботи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вентиляторів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їх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послідовному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підключенні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7D4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A39" w14:textId="30527D87" w:rsidR="00241E11" w:rsidRPr="00102CB2" w:rsidRDefault="00DD2B27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1E11" w:rsidRPr="00102CB2" w14:paraId="10BC0780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941D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0B37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Вивчення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конструктивних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складових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елементів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газотурбінної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E9EB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8B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E11" w:rsidRPr="00102CB2" w14:paraId="324F9F7C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6603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E3085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3756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9A0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778FE4D" w14:textId="77777777" w:rsidR="00241E11" w:rsidRPr="00102CB2" w:rsidRDefault="00241E11" w:rsidP="00102CB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7C07211" w14:textId="431D8EFB" w:rsidR="00241E11" w:rsidRPr="001E69A9" w:rsidRDefault="001E69A9" w:rsidP="00241E11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2CB2" w:rsidRPr="001E69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02CB2" w:rsidRPr="001E69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1E11" w:rsidRPr="001E6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практичних занять</w:t>
      </w:r>
    </w:p>
    <w:tbl>
      <w:tblPr>
        <w:tblW w:w="964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70"/>
        <w:gridCol w:w="6699"/>
        <w:gridCol w:w="1142"/>
        <w:gridCol w:w="1134"/>
      </w:tblGrid>
      <w:tr w:rsidR="00241E11" w:rsidRPr="00102CB2" w14:paraId="7C5E2AA3" w14:textId="77777777" w:rsidTr="00241E11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4C27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F04B28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1F5C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B6FB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199B782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241E11" w:rsidRPr="00102CB2" w14:paraId="2F027A5E" w14:textId="77777777" w:rsidTr="00241E11">
        <w:trPr>
          <w:trHeight w:val="33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6BCA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136A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7D8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B49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41E11" w:rsidRPr="00102CB2" w14:paraId="5EAAE411" w14:textId="77777777" w:rsidTr="00241E1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D318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0F50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термодинамічні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теплофізичні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гідродинамічні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характеристики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стиснутих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2593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40E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4C510CB2" w14:textId="77777777" w:rsidTr="00241E1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C58CF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7E7F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Розрахунок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визначення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масової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обємної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продуктивності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у ТВСГ.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режими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течії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газових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потоків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0F13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4105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0FC881F5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0E520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3...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2E77A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Застосування рівнянь ідеального газу для розрахунку ТВСГ з реальними газами.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E78B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B07C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226A88B0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E3FB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E18C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</w:t>
            </w: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они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застосування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компресорних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установок.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Особливості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поршневих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компрессорах</w:t>
            </w: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76D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23F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232A7F1E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A915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79D49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Застосування діаграм стану реальних газів для аналізу та розрахунку процесів стиснення.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E72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2007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7046FBCE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B5BD2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E4A6D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Компресорний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безкомпресорний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двигуни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Дизеля.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Турбонадув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попереднє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охолодження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повітря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ДВЗ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07D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D7EA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12A51F54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6F8D5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4EBE7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Природний газ , його властивості та напрямки  його застосування. Методи добутку та транспортування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E5BE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884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12150C00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FA5F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B83E5" w14:textId="63B9552D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Регазифікаційні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технології СПГ з виробництвом механічної енергії.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015" w14:textId="16F5CE68" w:rsidR="00241E11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C1F1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41E11" w:rsidRPr="00102CB2" w14:paraId="29140010" w14:textId="77777777" w:rsidTr="00241E1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A207C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D0FA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AAD8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FF704" w14:textId="77777777" w:rsidR="00241E11" w:rsidRPr="00102CB2" w:rsidRDefault="00241E1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14:paraId="47664AEE" w14:textId="3A55768F" w:rsidR="00241E11" w:rsidRPr="00102CB2" w:rsidRDefault="00241E11" w:rsidP="00102C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2D94" w14:textId="7D8B7A9A" w:rsidR="00241E11" w:rsidRPr="00102CB2" w:rsidRDefault="00241E11" w:rsidP="00102C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464D3" w14:textId="77777777" w:rsidR="00102CB2" w:rsidRDefault="00102CB2" w:rsidP="00102CB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DE7141" w14:textId="77777777" w:rsidR="00102CB2" w:rsidRDefault="00102CB2" w:rsidP="00102CB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2C16366" w14:textId="77777777" w:rsidR="00102CB2" w:rsidRDefault="00102CB2" w:rsidP="00102CB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52AD00" w14:textId="77777777" w:rsidR="00102CB2" w:rsidRDefault="00102CB2" w:rsidP="00102CB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ED1AAED" w14:textId="5A1DA857" w:rsidR="00FC4B51" w:rsidRPr="001E69A9" w:rsidRDefault="001E69A9" w:rsidP="00102CB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2.4.</w:t>
      </w:r>
      <w:r w:rsidR="00102CB2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proofErr w:type="spellStart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завдань</w:t>
      </w:r>
      <w:proofErr w:type="spellEnd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самостійної</w:t>
      </w:r>
      <w:proofErr w:type="spellEnd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C4B5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14:paraId="2439D5B5" w14:textId="77777777" w:rsidR="00FC4B51" w:rsidRPr="00102CB2" w:rsidRDefault="00FC4B51" w:rsidP="00102CB2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410"/>
      </w:tblGrid>
      <w:tr w:rsidR="00FC4B51" w:rsidRPr="00102CB2" w14:paraId="23BC8111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4157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9678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індивідуального завдання</w:t>
            </w:r>
          </w:p>
        </w:tc>
      </w:tr>
      <w:tr w:rsidR="00FC4B51" w:rsidRPr="00102CB2" w14:paraId="7B116040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2C3D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E971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Застосування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теорії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термодинамічної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подоби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речовин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ТВСГ</w:t>
            </w:r>
          </w:p>
        </w:tc>
      </w:tr>
      <w:tr w:rsidR="00FC4B51" w:rsidRPr="00102CB2" w14:paraId="46097C26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6D09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E0CA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Використання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характеристичних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функцій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 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потенціалів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розрахунках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ТВСГ</w:t>
            </w:r>
          </w:p>
        </w:tc>
      </w:tr>
      <w:tr w:rsidR="00FC4B51" w:rsidRPr="00102CB2" w14:paraId="20836767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A4AE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901D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Вплив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вологості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повітря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процеси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стиснення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розширення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газового потоку.</w:t>
            </w:r>
          </w:p>
        </w:tc>
      </w:tr>
      <w:tr w:rsidR="00FC4B51" w:rsidRPr="00102CB2" w14:paraId="0868FE8F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9D1A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E19D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Порівняльний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аналіз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циклів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газотурбінних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установок ГТС.</w:t>
            </w:r>
          </w:p>
        </w:tc>
      </w:tr>
      <w:tr w:rsidR="00FC4B51" w:rsidRPr="00102CB2" w14:paraId="5C96DC38" w14:textId="77777777" w:rsidTr="00FC4B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621B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7B74" w14:textId="77777777" w:rsidR="00FC4B51" w:rsidRPr="00102CB2" w:rsidRDefault="00FC4B51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параметрів  технічних пневмосистем та систем пневмоавтоматики</w:t>
            </w:r>
          </w:p>
        </w:tc>
      </w:tr>
    </w:tbl>
    <w:p w14:paraId="55BC1797" w14:textId="5C971E83" w:rsidR="00913AD1" w:rsidRPr="00FC4B51" w:rsidRDefault="00913AD1" w:rsidP="00913AD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8067" w14:textId="4DBB79E0" w:rsidR="00913AD1" w:rsidRPr="001E69A9" w:rsidRDefault="00102CB2" w:rsidP="001E69A9">
      <w:pPr>
        <w:pStyle w:val="a3"/>
        <w:widowControl w:val="0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ритерії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оцінювання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1E6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</w:p>
    <w:p w14:paraId="7CCCC8CE" w14:textId="77777777" w:rsidR="00913AD1" w:rsidRPr="001E69A9" w:rsidRDefault="00913AD1" w:rsidP="00913AD1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Нарахування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балів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змістовного</w:t>
      </w:r>
      <w:proofErr w:type="spellEnd"/>
      <w:r w:rsidRPr="001E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модуля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4"/>
        <w:gridCol w:w="16"/>
        <w:gridCol w:w="600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102CB2" w:rsidRPr="00102CB2" w14:paraId="033FE241" w14:textId="77777777" w:rsidTr="00102CB2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EEE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br w:type="page"/>
            </w: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br w:type="page"/>
            </w: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AFAA7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B15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102CB2" w:rsidRPr="00102CB2" w14:paraId="0046B3F7" w14:textId="77777777" w:rsidTr="00102CB2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843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F74EE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9BC5F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0B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</w:t>
            </w:r>
          </w:p>
        </w:tc>
      </w:tr>
      <w:tr w:rsidR="00102CB2" w:rsidRPr="00102CB2" w14:paraId="7F35E1F7" w14:textId="77777777" w:rsidTr="00102CB2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C02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59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  <w:p w14:paraId="170AD50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9B671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ax</w:t>
            </w:r>
            <w:proofErr w:type="spellEnd"/>
          </w:p>
          <w:p w14:paraId="05CE359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EA9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</w:t>
            </w:r>
            <w:proofErr w:type="spellEnd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D8B64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0C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</w:t>
            </w:r>
            <w:proofErr w:type="spellEnd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. робіт, одиниць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904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102CB2" w:rsidRPr="00102CB2" w14:paraId="7CCBB962" w14:textId="77777777" w:rsidTr="00102CB2">
        <w:trPr>
          <w:cantSplit/>
          <w:trHeight w:val="165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4A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F7C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0E855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10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23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BCE4C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99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698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BEB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</w:tr>
      <w:tr w:rsidR="00102CB2" w:rsidRPr="00102CB2" w14:paraId="37988739" w14:textId="77777777" w:rsidTr="00102CB2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D51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DFB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D14B7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2E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A19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004B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2D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6A9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55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102CB2" w:rsidRPr="00102CB2" w14:paraId="1B377382" w14:textId="77777777" w:rsidTr="00102CB2">
        <w:trPr>
          <w:cantSplit/>
          <w:trHeight w:val="384"/>
        </w:trPr>
        <w:tc>
          <w:tcPr>
            <w:tcW w:w="97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768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 семестр (номер семестру)</w:t>
            </w:r>
          </w:p>
        </w:tc>
      </w:tr>
      <w:tr w:rsidR="00102CB2" w:rsidRPr="00102CB2" w14:paraId="5830A81D" w14:textId="77777777" w:rsidTr="00102CB2">
        <w:trPr>
          <w:cantSplit/>
          <w:trHeight w:val="757"/>
        </w:trPr>
        <w:tc>
          <w:tcPr>
            <w:tcW w:w="97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C1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Змістовий модуль 1. “</w:t>
            </w: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Технологі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uk-UA"/>
              </w:rPr>
              <w:t>ї</w:t>
            </w: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використання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стиснутих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газів</w:t>
            </w:r>
            <w:proofErr w:type="spellEnd"/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uk-UA"/>
              </w:rPr>
              <w:t>.</w:t>
            </w: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”</w:t>
            </w:r>
          </w:p>
          <w:p w14:paraId="63CD5B3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(назва)</w:t>
            </w:r>
          </w:p>
        </w:tc>
      </w:tr>
      <w:tr w:rsidR="00102CB2" w:rsidRPr="00102CB2" w14:paraId="6B289F95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52A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9CA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7746D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E12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AA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32D9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EDA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725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514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102CB2" w:rsidRPr="00102CB2" w14:paraId="4839D7DA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23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E1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B4DA5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28F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03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E81E9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6B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9D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BD1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02CB2" w:rsidRPr="00102CB2" w14:paraId="2C522783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A99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Робота на практичних / семі-</w:t>
            </w: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нарських</w:t>
            </w:r>
            <w:proofErr w:type="spellEnd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заняттях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3A6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CECB1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3D7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180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60CDC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BBA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11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68A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102CB2" w:rsidRPr="00102CB2" w14:paraId="4CA6B380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99B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089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4A962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25B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9A0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86A90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4B0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60E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55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102CB2" w:rsidRPr="00102CB2" w14:paraId="515CA807" w14:textId="77777777" w:rsidTr="00102CB2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2D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14:paraId="057D683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440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2639D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601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554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AC3EB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DBD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2C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70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02CB2" w:rsidRPr="00102CB2" w14:paraId="59FB5AE9" w14:textId="77777777" w:rsidTr="00102CB2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ECE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79D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81CC0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2F7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754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95639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ECB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70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4BF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102CB2" w:rsidRPr="00102CB2" w14:paraId="5C51DDD4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731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A8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1832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52E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25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D9F30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936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40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38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102CB2" w:rsidRPr="00102CB2" w14:paraId="1DA40142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F27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BD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A034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7B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0BD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BED53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CA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DA05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EEB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102CB2" w:rsidRPr="00102CB2" w14:paraId="3FC53C1F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07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7EA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20/–20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5633B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40 / 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71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F6D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FF9A5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F6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A0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CE1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102CB2" w:rsidRPr="00102CB2" w14:paraId="6AE1E447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D1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Контроль результатів </w:t>
            </w: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дистан</w:t>
            </w:r>
            <w:proofErr w:type="spellEnd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14:paraId="7A546E4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ційного</w:t>
            </w:r>
            <w:proofErr w:type="spellEnd"/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модулю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5CBD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AA6D5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14:paraId="763182A9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85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16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149A87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34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E3F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39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102CB2" w:rsidRPr="00102CB2" w14:paraId="026444BF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797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14:paraId="41E4C0C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CD8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56596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C81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718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F2E17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BF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75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6B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102CB2" w:rsidRPr="00102CB2" w14:paraId="28F5A4FD" w14:textId="77777777" w:rsidTr="00102CB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89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3AF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BFB3E2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B2E0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A0B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6CCCB3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DA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60A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A22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102CB2" w:rsidRPr="00102CB2" w14:paraId="022D880E" w14:textId="77777777" w:rsidTr="00102C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7556C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Разом з дисципліни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25166E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DA6016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60...100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1BEF" w14:textId="77777777" w:rsidR="00102CB2" w:rsidRPr="00102CB2" w:rsidRDefault="00102CB2" w:rsidP="00102C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2CB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60...100</w:t>
            </w:r>
          </w:p>
        </w:tc>
      </w:tr>
    </w:tbl>
    <w:p w14:paraId="27C9279A" w14:textId="77777777" w:rsidR="00102CB2" w:rsidRPr="00102CB2" w:rsidRDefault="00102CB2" w:rsidP="00102CB2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14:paraId="5469ECCE" w14:textId="77777777" w:rsidR="00102CB2" w:rsidRPr="00102CB2" w:rsidRDefault="00102CB2" w:rsidP="00102C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853D" w14:textId="77777777" w:rsidR="00102CB2" w:rsidRPr="00102CB2" w:rsidRDefault="00102CB2" w:rsidP="00102C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3F698" w14:textId="77777777" w:rsidR="00102CB2" w:rsidRDefault="00102CB2" w:rsidP="00913AD1">
      <w:pPr>
        <w:widowControl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C19C" w14:textId="11C3B17E" w:rsidR="00913AD1" w:rsidRPr="00913AD1" w:rsidRDefault="00913AD1" w:rsidP="00102CB2">
      <w:pPr>
        <w:widowControl w:val="0"/>
        <w:spacing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2FDC3" w14:textId="629F0DEE" w:rsidR="00CF7F7A" w:rsidRDefault="001E69A9" w:rsidP="00CF7F7A">
      <w:pPr>
        <w:widowControl w:val="0"/>
        <w:shd w:val="clear" w:color="auto" w:fill="FFFFFF"/>
        <w:tabs>
          <w:tab w:val="left" w:pos="950"/>
        </w:tabs>
        <w:spacing w:after="0" w:line="240" w:lineRule="auto"/>
        <w:ind w:left="710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</w:t>
      </w:r>
      <w:proofErr w:type="spellEnd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13AD1" w:rsidRPr="00913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ресурси</w:t>
      </w:r>
      <w:proofErr w:type="spellEnd"/>
    </w:p>
    <w:p w14:paraId="24022F53" w14:textId="245AF3B6" w:rsidR="00CF7F7A" w:rsidRPr="00CF7F7A" w:rsidRDefault="00CF7F7A" w:rsidP="00CF7F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CF7F7A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  <w:proofErr w:type="spellEnd"/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 В.І., Ярошенко В.М., Технологія використання стиснених газів- Одеса,:  « </w:t>
      </w:r>
      <w:proofErr w:type="spellStart"/>
      <w:r w:rsidRPr="00CF7F7A">
        <w:rPr>
          <w:rFonts w:ascii="Times New Roman" w:hAnsi="Times New Roman" w:cs="Times New Roman"/>
          <w:sz w:val="24"/>
          <w:szCs w:val="24"/>
          <w:lang w:val="uk-UA"/>
        </w:rPr>
        <w:t>Зовнішреклам</w:t>
      </w:r>
      <w:proofErr w:type="spellEnd"/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 сервіс»- 2015 - 449 с.</w:t>
      </w:r>
    </w:p>
    <w:p w14:paraId="28ED39AA" w14:textId="3F1DEFD7" w:rsidR="00CF7F7A" w:rsidRPr="00CF7F7A" w:rsidRDefault="00CF7F7A" w:rsidP="00CF7F7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2. Ярошенко В.М.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занять та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з ТВСГ</w:t>
      </w:r>
      <w:r w:rsidRPr="00CF7F7A">
        <w:rPr>
          <w:rFonts w:ascii="Times New Roman" w:hAnsi="Times New Roman" w:cs="Times New Roman"/>
          <w:sz w:val="24"/>
          <w:szCs w:val="24"/>
          <w:lang w:val="uk-UA"/>
        </w:rPr>
        <w:t>, посібник, Одеса: ОНАХТ, 2018р.- 32с. (електронний варіант).</w:t>
      </w:r>
    </w:p>
    <w:p w14:paraId="2FC9F86A" w14:textId="14A12D47" w:rsidR="00CF7F7A" w:rsidRPr="00CF7F7A" w:rsidRDefault="00CF7F7A" w:rsidP="00CF7F7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3.Ярошенко В.М., 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з ТВСГ </w:t>
      </w:r>
      <w:r w:rsidRPr="00CF7F7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осібник</w:t>
      </w:r>
      <w:proofErr w:type="spellEnd"/>
      <w:r w:rsidRPr="00CF7F7A">
        <w:rPr>
          <w:rFonts w:ascii="Times New Roman" w:hAnsi="Times New Roman" w:cs="Times New Roman"/>
          <w:sz w:val="24"/>
          <w:szCs w:val="24"/>
          <w:lang w:val="uk-UA"/>
        </w:rPr>
        <w:t xml:space="preserve"> Одеса: НВЦ «</w:t>
      </w:r>
      <w:proofErr w:type="spellStart"/>
      <w:r w:rsidRPr="00CF7F7A">
        <w:rPr>
          <w:rFonts w:ascii="Times New Roman" w:hAnsi="Times New Roman" w:cs="Times New Roman"/>
          <w:sz w:val="24"/>
          <w:szCs w:val="24"/>
          <w:lang w:val="uk-UA"/>
        </w:rPr>
        <w:t>Технолог»,ОНАХТ</w:t>
      </w:r>
      <w:proofErr w:type="spellEnd"/>
      <w:r w:rsidRPr="00CF7F7A">
        <w:rPr>
          <w:rFonts w:ascii="Times New Roman" w:hAnsi="Times New Roman" w:cs="Times New Roman"/>
          <w:sz w:val="24"/>
          <w:szCs w:val="24"/>
          <w:lang w:val="uk-UA"/>
        </w:rPr>
        <w:t>./ Одеса, 2018 р.-55с.</w:t>
      </w:r>
    </w:p>
    <w:p w14:paraId="45379D02" w14:textId="0DA2FF1A" w:rsidR="00913AD1" w:rsidRPr="00CF7F7A" w:rsidRDefault="00CF7F7A" w:rsidP="00CF7F7A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7F7A">
        <w:rPr>
          <w:rFonts w:ascii="Times New Roman" w:hAnsi="Times New Roman" w:cs="Times New Roman"/>
          <w:sz w:val="24"/>
          <w:szCs w:val="24"/>
          <w:lang w:val="uk-UA"/>
        </w:rPr>
        <w:t>4.Ярошенко В.М. Технологія використання стиснених газів. Методичні вказівки для студентів заочної форми навчання. Онахт,2016р.- 48 с</w:t>
      </w:r>
      <w:r w:rsidRPr="00CF7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8F3F28" w14:textId="77777777" w:rsidR="00913AD1" w:rsidRPr="00CF7F7A" w:rsidRDefault="00913AD1" w:rsidP="00913AD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768472" w14:textId="77777777" w:rsidR="00913AD1" w:rsidRPr="00CF7F7A" w:rsidRDefault="00913AD1" w:rsidP="00913AD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C3FBFB" w14:textId="77777777" w:rsidR="00913AD1" w:rsidRPr="00CF7F7A" w:rsidRDefault="00913AD1" w:rsidP="00913AD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6A738" w14:textId="77777777" w:rsidR="000A1E57" w:rsidRPr="00CF7F7A" w:rsidRDefault="000A1E57">
      <w:pPr>
        <w:rPr>
          <w:lang w:val="uk-UA"/>
        </w:rPr>
      </w:pPr>
    </w:p>
    <w:sectPr w:rsidR="000A1E57" w:rsidRPr="00CF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F97"/>
    <w:multiLevelType w:val="multilevel"/>
    <w:tmpl w:val="BE64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6255"/>
    <w:multiLevelType w:val="multilevel"/>
    <w:tmpl w:val="3B6A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15AF0"/>
    <w:multiLevelType w:val="multilevel"/>
    <w:tmpl w:val="BF8C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452D"/>
    <w:multiLevelType w:val="multilevel"/>
    <w:tmpl w:val="1C0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50974"/>
    <w:multiLevelType w:val="multilevel"/>
    <w:tmpl w:val="C7F4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50785"/>
    <w:multiLevelType w:val="multilevel"/>
    <w:tmpl w:val="34D2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C438F"/>
    <w:multiLevelType w:val="multilevel"/>
    <w:tmpl w:val="2A4E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F1F85"/>
    <w:multiLevelType w:val="multilevel"/>
    <w:tmpl w:val="C57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94FC0"/>
    <w:multiLevelType w:val="multilevel"/>
    <w:tmpl w:val="5A7A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70DFD"/>
    <w:multiLevelType w:val="multilevel"/>
    <w:tmpl w:val="A358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641EF"/>
    <w:multiLevelType w:val="multilevel"/>
    <w:tmpl w:val="5E70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8850A4"/>
    <w:multiLevelType w:val="multilevel"/>
    <w:tmpl w:val="D386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  <w:sz w:val="28"/>
      </w:rPr>
    </w:lvl>
  </w:abstractNum>
  <w:abstractNum w:abstractNumId="12" w15:restartNumberingAfterBreak="0">
    <w:nsid w:val="1C9B156B"/>
    <w:multiLevelType w:val="multilevel"/>
    <w:tmpl w:val="C6D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92A2E"/>
    <w:multiLevelType w:val="multilevel"/>
    <w:tmpl w:val="9F32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6287F"/>
    <w:multiLevelType w:val="multilevel"/>
    <w:tmpl w:val="B5C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450E"/>
    <w:multiLevelType w:val="multilevel"/>
    <w:tmpl w:val="CFB2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F00A2"/>
    <w:multiLevelType w:val="multilevel"/>
    <w:tmpl w:val="F7B6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215DB"/>
    <w:multiLevelType w:val="multilevel"/>
    <w:tmpl w:val="690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034FB"/>
    <w:multiLevelType w:val="multilevel"/>
    <w:tmpl w:val="7DE0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D1F1C"/>
    <w:multiLevelType w:val="multilevel"/>
    <w:tmpl w:val="49F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04AD"/>
    <w:multiLevelType w:val="multilevel"/>
    <w:tmpl w:val="FB4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97563"/>
    <w:multiLevelType w:val="multilevel"/>
    <w:tmpl w:val="2AB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54AA4"/>
    <w:multiLevelType w:val="multilevel"/>
    <w:tmpl w:val="6A2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A0C7B"/>
    <w:multiLevelType w:val="hybridMultilevel"/>
    <w:tmpl w:val="BA70E418"/>
    <w:lvl w:ilvl="0" w:tplc="BB22C12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7B1750"/>
    <w:multiLevelType w:val="multilevel"/>
    <w:tmpl w:val="1E1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17030B"/>
    <w:multiLevelType w:val="multilevel"/>
    <w:tmpl w:val="C5F8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D2AE5"/>
    <w:multiLevelType w:val="multilevel"/>
    <w:tmpl w:val="8B66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272819"/>
    <w:multiLevelType w:val="multilevel"/>
    <w:tmpl w:val="02D4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B545A6"/>
    <w:multiLevelType w:val="multilevel"/>
    <w:tmpl w:val="60E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FB36FD"/>
    <w:multiLevelType w:val="multilevel"/>
    <w:tmpl w:val="8886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6A752A"/>
    <w:multiLevelType w:val="hybridMultilevel"/>
    <w:tmpl w:val="C060D56E"/>
    <w:lvl w:ilvl="0" w:tplc="667E6D6E">
      <w:numFmt w:val="decimal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77088E"/>
    <w:multiLevelType w:val="multilevel"/>
    <w:tmpl w:val="CC6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A8746A"/>
    <w:multiLevelType w:val="multilevel"/>
    <w:tmpl w:val="943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E01948"/>
    <w:multiLevelType w:val="multilevel"/>
    <w:tmpl w:val="39B41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4" w15:restartNumberingAfterBreak="0">
    <w:nsid w:val="48442A9F"/>
    <w:multiLevelType w:val="multilevel"/>
    <w:tmpl w:val="8E56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75EC2"/>
    <w:multiLevelType w:val="multilevel"/>
    <w:tmpl w:val="0762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186CB2"/>
    <w:multiLevelType w:val="multilevel"/>
    <w:tmpl w:val="6E36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664FE3"/>
    <w:multiLevelType w:val="multilevel"/>
    <w:tmpl w:val="E17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E403F6"/>
    <w:multiLevelType w:val="multilevel"/>
    <w:tmpl w:val="41E4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A64F22"/>
    <w:multiLevelType w:val="multilevel"/>
    <w:tmpl w:val="005A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91545F"/>
    <w:multiLevelType w:val="multilevel"/>
    <w:tmpl w:val="EE4A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BC5136"/>
    <w:multiLevelType w:val="multilevel"/>
    <w:tmpl w:val="A56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1B1F45"/>
    <w:multiLevelType w:val="hybridMultilevel"/>
    <w:tmpl w:val="43F6AD0C"/>
    <w:lvl w:ilvl="0" w:tplc="5722279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B920205"/>
    <w:multiLevelType w:val="multilevel"/>
    <w:tmpl w:val="67F8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9E21C5"/>
    <w:multiLevelType w:val="multilevel"/>
    <w:tmpl w:val="77BCE184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2C3391"/>
    <w:multiLevelType w:val="multilevel"/>
    <w:tmpl w:val="066E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00AAF"/>
    <w:multiLevelType w:val="multilevel"/>
    <w:tmpl w:val="32E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4A73AE"/>
    <w:multiLevelType w:val="multilevel"/>
    <w:tmpl w:val="34C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55428C"/>
    <w:multiLevelType w:val="multilevel"/>
    <w:tmpl w:val="62D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8"/>
  </w:num>
  <w:num w:numId="5">
    <w:abstractNumId w:val="16"/>
  </w:num>
  <w:num w:numId="6">
    <w:abstractNumId w:val="5"/>
  </w:num>
  <w:num w:numId="7">
    <w:abstractNumId w:val="17"/>
  </w:num>
  <w:num w:numId="8">
    <w:abstractNumId w:val="39"/>
  </w:num>
  <w:num w:numId="9">
    <w:abstractNumId w:val="22"/>
  </w:num>
  <w:num w:numId="10">
    <w:abstractNumId w:val="9"/>
  </w:num>
  <w:num w:numId="11">
    <w:abstractNumId w:val="21"/>
  </w:num>
  <w:num w:numId="12">
    <w:abstractNumId w:val="32"/>
  </w:num>
  <w:num w:numId="13">
    <w:abstractNumId w:val="20"/>
  </w:num>
  <w:num w:numId="14">
    <w:abstractNumId w:val="47"/>
  </w:num>
  <w:num w:numId="15">
    <w:abstractNumId w:val="13"/>
  </w:num>
  <w:num w:numId="16">
    <w:abstractNumId w:val="37"/>
  </w:num>
  <w:num w:numId="17">
    <w:abstractNumId w:val="34"/>
  </w:num>
  <w:num w:numId="18">
    <w:abstractNumId w:val="7"/>
  </w:num>
  <w:num w:numId="19">
    <w:abstractNumId w:val="19"/>
  </w:num>
  <w:num w:numId="20">
    <w:abstractNumId w:val="24"/>
  </w:num>
  <w:num w:numId="21">
    <w:abstractNumId w:val="28"/>
  </w:num>
  <w:num w:numId="22">
    <w:abstractNumId w:val="10"/>
  </w:num>
  <w:num w:numId="23">
    <w:abstractNumId w:val="3"/>
  </w:num>
  <w:num w:numId="24">
    <w:abstractNumId w:val="2"/>
  </w:num>
  <w:num w:numId="25">
    <w:abstractNumId w:val="18"/>
  </w:num>
  <w:num w:numId="26">
    <w:abstractNumId w:val="45"/>
  </w:num>
  <w:num w:numId="27">
    <w:abstractNumId w:val="6"/>
  </w:num>
  <w:num w:numId="28">
    <w:abstractNumId w:val="36"/>
  </w:num>
  <w:num w:numId="29">
    <w:abstractNumId w:val="43"/>
  </w:num>
  <w:num w:numId="30">
    <w:abstractNumId w:val="14"/>
  </w:num>
  <w:num w:numId="31">
    <w:abstractNumId w:val="35"/>
  </w:num>
  <w:num w:numId="32">
    <w:abstractNumId w:val="4"/>
  </w:num>
  <w:num w:numId="33">
    <w:abstractNumId w:val="27"/>
  </w:num>
  <w:num w:numId="34">
    <w:abstractNumId w:val="38"/>
  </w:num>
  <w:num w:numId="35">
    <w:abstractNumId w:val="48"/>
  </w:num>
  <w:num w:numId="36">
    <w:abstractNumId w:val="26"/>
  </w:num>
  <w:num w:numId="37">
    <w:abstractNumId w:val="15"/>
  </w:num>
  <w:num w:numId="38">
    <w:abstractNumId w:val="46"/>
  </w:num>
  <w:num w:numId="39">
    <w:abstractNumId w:val="25"/>
  </w:num>
  <w:num w:numId="40">
    <w:abstractNumId w:val="41"/>
  </w:num>
  <w:num w:numId="41">
    <w:abstractNumId w:val="40"/>
  </w:num>
  <w:num w:numId="42">
    <w:abstractNumId w:val="29"/>
  </w:num>
  <w:num w:numId="43">
    <w:abstractNumId w:val="1"/>
  </w:num>
  <w:num w:numId="44">
    <w:abstractNumId w:val="44"/>
  </w:num>
  <w:num w:numId="45">
    <w:abstractNumId w:val="30"/>
  </w:num>
  <w:num w:numId="46">
    <w:abstractNumId w:val="23"/>
  </w:num>
  <w:num w:numId="47">
    <w:abstractNumId w:val="42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D1"/>
    <w:rsid w:val="000A1E57"/>
    <w:rsid w:val="00102CB2"/>
    <w:rsid w:val="00131EE6"/>
    <w:rsid w:val="001E69A9"/>
    <w:rsid w:val="00241E11"/>
    <w:rsid w:val="00561675"/>
    <w:rsid w:val="005E4F25"/>
    <w:rsid w:val="00913AD1"/>
    <w:rsid w:val="009B69E8"/>
    <w:rsid w:val="00B85974"/>
    <w:rsid w:val="00CF7F7A"/>
    <w:rsid w:val="00D46BF1"/>
    <w:rsid w:val="00DD2B27"/>
    <w:rsid w:val="00E752AB"/>
    <w:rsid w:val="00F86248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44C"/>
  <w15:chartTrackingRefBased/>
  <w15:docId w15:val="{6899C68A-D504-4DB2-989B-D1FAE62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0">
    <w:name w:val="rvts20"/>
    <w:basedOn w:val="a0"/>
    <w:rsid w:val="00FC4B51"/>
  </w:style>
  <w:style w:type="paragraph" w:styleId="a3">
    <w:name w:val="List Paragraph"/>
    <w:basedOn w:val="a"/>
    <w:uiPriority w:val="34"/>
    <w:qFormat/>
    <w:rsid w:val="00102CB2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02CB2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02CB2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102C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102CB2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CF7F7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752AB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dcterms:created xsi:type="dcterms:W3CDTF">2020-12-07T13:49:00Z</dcterms:created>
  <dcterms:modified xsi:type="dcterms:W3CDTF">2021-03-24T15:56:00Z</dcterms:modified>
</cp:coreProperties>
</file>